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C889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bidi="ar-SA"/>
        </w:rPr>
      </w:pPr>
      <w:r>
        <w:rPr>
          <w:rFonts w:hint="eastAsia" w:ascii="华文中宋" w:hAnsi="华文中宋" w:eastAsia="华文中宋" w:cs="华文中宋"/>
          <w:b/>
          <w:bCs/>
          <w:sz w:val="28"/>
          <w:szCs w:val="28"/>
          <w:lang w:val="en-US" w:eastAsia="zh-CN" w:bidi="ar-SA"/>
        </w:rPr>
        <w:t xml:space="preserve">Decoding the Book of </w:t>
      </w:r>
      <w:r>
        <w:rPr>
          <w:rFonts w:hint="eastAsia" w:ascii="华文中宋" w:hAnsi="华文中宋" w:eastAsia="华文中宋" w:cs="华文中宋"/>
          <w:b/>
          <w:bCs/>
          <w:i/>
          <w:iCs/>
          <w:sz w:val="28"/>
          <w:szCs w:val="28"/>
          <w:lang w:val="en-US" w:eastAsia="zh-CN" w:bidi="ar-SA"/>
        </w:rPr>
        <w:t>Xi Jinping: The Governance of China</w:t>
      </w:r>
    </w:p>
    <w:p w14:paraId="19EB423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bidi="ar-SA"/>
        </w:rPr>
      </w:pPr>
      <w:r>
        <w:rPr>
          <w:rFonts w:hint="eastAsia" w:ascii="华文中宋" w:hAnsi="华文中宋" w:eastAsia="华文中宋" w:cs="华文中宋"/>
          <w:b/>
          <w:bCs/>
          <w:sz w:val="28"/>
          <w:szCs w:val="28"/>
          <w:lang w:val="en-US" w:eastAsia="zh-CN" w:bidi="ar-SA"/>
        </w:rPr>
        <w:t>Lucid waters and lush mountains are invaluable assets</w:t>
      </w:r>
    </w:p>
    <w:p w14:paraId="063447C5">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default" w:ascii="宋体" w:hAnsi="宋体" w:eastAsia="宋体" w:cs="宋体"/>
          <w:b/>
          <w:bCs/>
          <w:i/>
          <w:iCs/>
          <w:sz w:val="21"/>
          <w:szCs w:val="21"/>
          <w:lang w:val="en-US" w:eastAsia="zh-CN" w:bidi="ar-SA"/>
        </w:rPr>
      </w:pPr>
      <w:r>
        <w:rPr>
          <w:rFonts w:hint="default" w:ascii="宋体" w:hAnsi="宋体" w:cs="宋体"/>
          <w:b/>
          <w:bCs/>
          <w:i/>
          <w:iCs/>
          <w:sz w:val="21"/>
          <w:szCs w:val="21"/>
          <w:lang w:val="en-US" w:eastAsia="zh-CN" w:bidi="ar-SA"/>
        </w:rPr>
        <w:t>“</w:t>
      </w:r>
      <w:r>
        <w:rPr>
          <w:rFonts w:hint="eastAsia" w:ascii="宋体" w:hAnsi="宋体" w:eastAsia="宋体" w:cs="宋体"/>
          <w:b/>
          <w:bCs/>
          <w:i/>
          <w:iCs/>
          <w:sz w:val="21"/>
          <w:szCs w:val="21"/>
          <w:lang w:val="en-US" w:eastAsia="zh-CN" w:bidi="ar-SA"/>
        </w:rPr>
        <w:t>I hope our whole society acts now to promote and apply the concept that lucid waters and lush mountains are invaluable assets. Through solid and sustained efforts, we will make a greater contribution to building a clean and beautiful world.</w:t>
      </w:r>
      <w:r>
        <w:rPr>
          <w:rFonts w:hint="default" w:ascii="宋体" w:hAnsi="宋体" w:cs="宋体"/>
          <w:b/>
          <w:bCs/>
          <w:i/>
          <w:iCs/>
          <w:sz w:val="21"/>
          <w:szCs w:val="21"/>
          <w:lang w:val="en-US" w:eastAsia="zh-CN" w:bidi="ar-SA"/>
        </w:rPr>
        <w:t>”</w:t>
      </w:r>
    </w:p>
    <w:p w14:paraId="20505CED">
      <w:pPr>
        <w:keepNext w:val="0"/>
        <w:keepLines w:val="0"/>
        <w:pageBreakBefore w:val="0"/>
        <w:widowControl w:val="0"/>
        <w:kinsoku/>
        <w:wordWrap/>
        <w:overflowPunct/>
        <w:topLinePunct w:val="0"/>
        <w:autoSpaceDE/>
        <w:autoSpaceDN/>
        <w:bidi w:val="0"/>
        <w:adjustRightInd/>
        <w:snapToGrid/>
        <w:spacing w:line="360" w:lineRule="exact"/>
        <w:ind w:firstLine="422" w:firstLineChars="200"/>
        <w:jc w:val="both"/>
        <w:textAlignment w:val="auto"/>
        <w:rPr>
          <w:rFonts w:hint="eastAsia" w:ascii="宋体" w:hAnsi="宋体" w:eastAsia="宋体" w:cs="宋体"/>
          <w:b/>
          <w:bCs/>
          <w:i/>
          <w:iCs/>
          <w:sz w:val="21"/>
          <w:szCs w:val="21"/>
          <w:lang w:val="en-US" w:eastAsia="zh-CN" w:bidi="ar-SA"/>
        </w:rPr>
      </w:pPr>
      <w:r>
        <w:rPr>
          <w:rFonts w:hint="eastAsia" w:ascii="宋体" w:hAnsi="宋体" w:eastAsia="宋体" w:cs="宋体"/>
          <w:b/>
          <w:bCs/>
          <w:i/>
          <w:iCs/>
          <w:sz w:val="21"/>
          <w:szCs w:val="21"/>
          <w:lang w:eastAsia="zh-CN"/>
        </w:rPr>
        <w:t>——</w:t>
      </w:r>
      <w:r>
        <w:rPr>
          <w:rFonts w:hint="eastAsia" w:ascii="宋体" w:hAnsi="宋体" w:eastAsia="宋体" w:cs="宋体"/>
          <w:b/>
          <w:bCs/>
          <w:i/>
          <w:iCs/>
          <w:sz w:val="21"/>
          <w:szCs w:val="21"/>
          <w:lang w:val="en-US" w:eastAsia="zh-CN" w:bidi="ar-SA"/>
        </w:rPr>
        <w:t>Xi Jinping</w:t>
      </w:r>
      <w:r>
        <w:rPr>
          <w:rFonts w:hint="eastAsia" w:ascii="宋体" w:hAnsi="宋体" w:cs="宋体"/>
          <w:b/>
          <w:bCs/>
          <w:i/>
          <w:iCs/>
          <w:sz w:val="21"/>
          <w:szCs w:val="21"/>
          <w:lang w:val="en-US" w:eastAsia="zh-CN" w:bidi="ar-SA"/>
        </w:rPr>
        <w:t xml:space="preserve">: </w:t>
      </w:r>
      <w:r>
        <w:rPr>
          <w:rFonts w:hint="eastAsia" w:ascii="宋体" w:hAnsi="宋体" w:eastAsia="宋体" w:cs="宋体"/>
          <w:b/>
          <w:bCs/>
          <w:i/>
          <w:iCs/>
          <w:sz w:val="21"/>
          <w:szCs w:val="21"/>
          <w:lang w:val="en-US" w:eastAsia="zh-CN" w:bidi="ar-SA"/>
        </w:rPr>
        <w:t>Directive on the first National Ecology Day on August 14, 2023</w:t>
      </w:r>
    </w:p>
    <w:p w14:paraId="482FAA3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365F1EA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Editor’s Note:</w:t>
      </w:r>
    </w:p>
    <w:p w14:paraId="243E9D4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Since the publication of the first volume of </w:t>
      </w:r>
      <w:r>
        <w:rPr>
          <w:rFonts w:hint="eastAsia" w:ascii="宋体" w:hAnsi="宋体" w:eastAsia="宋体" w:cs="宋体"/>
          <w:b/>
          <w:bCs/>
          <w:i/>
          <w:iCs/>
          <w:sz w:val="21"/>
          <w:szCs w:val="21"/>
          <w:lang w:val="en-US" w:eastAsia="zh-CN" w:bidi="ar-SA"/>
        </w:rPr>
        <w:t>Xi Jinping: The Governance of China</w:t>
      </w:r>
      <w:r>
        <w:rPr>
          <w:rFonts w:hint="eastAsia" w:ascii="宋体" w:hAnsi="宋体" w:eastAsia="宋体" w:cs="宋体"/>
          <w:b/>
          <w:bCs/>
          <w:sz w:val="21"/>
          <w:szCs w:val="21"/>
          <w:lang w:val="en-US" w:eastAsia="zh-CN" w:bidi="ar-SA"/>
        </w:rPr>
        <w:t xml:space="preserve"> in 2014, the book has garnered widespread recognition globally, becoming a key resource for political figures, scholars, and experts in many countries. It stands as the leader’s work with the most published languages, the widest coverage, and the greatest global influence, opening a “window of thought” for understanding China in the new era.</w:t>
      </w:r>
    </w:p>
    <w:p w14:paraId="17CF92F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To offer global audiences deeper insights into </w:t>
      </w:r>
      <w:r>
        <w:rPr>
          <w:rFonts w:hint="eastAsia" w:ascii="宋体" w:hAnsi="宋体" w:eastAsia="宋体" w:cs="宋体"/>
          <w:b/>
          <w:bCs/>
          <w:i/>
          <w:iCs/>
          <w:sz w:val="21"/>
          <w:szCs w:val="21"/>
          <w:lang w:val="en-US" w:eastAsia="zh-CN" w:bidi="ar-SA"/>
        </w:rPr>
        <w:t>Xi Jinping: The Governance of China</w:t>
      </w:r>
      <w:r>
        <w:rPr>
          <w:rFonts w:hint="eastAsia" w:ascii="宋体" w:hAnsi="宋体" w:eastAsia="宋体" w:cs="宋体"/>
          <w:b/>
          <w:bCs/>
          <w:sz w:val="21"/>
          <w:szCs w:val="21"/>
          <w:lang w:val="en-US" w:eastAsia="zh-CN" w:bidi="ar-SA"/>
        </w:rPr>
        <w:t xml:space="preserve"> and the key concepts it contains, including perspectives on development, civilization, security, human rights, ecology, international order, and global governance, the Global Times is launching the “Decoding the Book of </w:t>
      </w:r>
      <w:r>
        <w:rPr>
          <w:rFonts w:hint="eastAsia" w:ascii="宋体" w:hAnsi="宋体" w:eastAsia="宋体" w:cs="宋体"/>
          <w:b/>
          <w:bCs/>
          <w:i/>
          <w:iCs/>
          <w:sz w:val="21"/>
          <w:szCs w:val="21"/>
          <w:lang w:val="en-US" w:eastAsia="zh-CN" w:bidi="ar-SA"/>
        </w:rPr>
        <w:t>Xi Jinping: The Governance of China</w:t>
      </w:r>
      <w:r>
        <w:rPr>
          <w:rFonts w:hint="eastAsia" w:ascii="宋体" w:hAnsi="宋体" w:eastAsia="宋体" w:cs="宋体"/>
          <w:b/>
          <w:bCs/>
          <w:sz w:val="21"/>
          <w:szCs w:val="21"/>
          <w:lang w:val="en-US" w:eastAsia="zh-CN" w:bidi="ar-SA"/>
        </w:rPr>
        <w:t>” series. Through themed columns such as “Scholars’ Perspectives,” “Translators’ Voices,” “Practitioners’ Insights,” and “Readers’ Reflections,” this series will feature perspectives from Chinese and international scholars, translators of the work, practitioners of its concepts, and overseas readers. It aims to share what they have seen and understood about China’s philosophy, values, and wisdom through the book.</w:t>
      </w:r>
    </w:p>
    <w:p w14:paraId="4502AE6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In the 10th installment of the special series, the Global Times, along with People’s Daily Overseas Edition, explores the theme: how the concept of “lucid waters and lush mountains are invaluable assets” and relevant practices contribute to sustainable development, global ecological governance and building a community with a shared future for humanity.</w:t>
      </w:r>
    </w:p>
    <w:p w14:paraId="4C0AB12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24366E8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bidi="ar-SA"/>
        </w:rPr>
      </w:pPr>
      <w:r>
        <w:rPr>
          <w:rFonts w:hint="eastAsia" w:ascii="华文中宋" w:hAnsi="华文中宋" w:eastAsia="华文中宋" w:cs="华文中宋"/>
          <w:b/>
          <w:bCs/>
          <w:sz w:val="28"/>
          <w:szCs w:val="28"/>
          <w:lang w:val="en-US" w:eastAsia="zh-CN" w:bidi="ar-SA"/>
        </w:rPr>
        <w:t>Practitioners’ Insights: Two generations witness 20 years of China’s green development under ‘two mountains’ concept</w:t>
      </w:r>
    </w:p>
    <w:p w14:paraId="4EEA01F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1493549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By Shan Jie in Anji</w:t>
      </w:r>
    </w:p>
    <w:p w14:paraId="1D0E4A5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2BCEB87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August’s summer heat is no match for the lively atmosphere in Yucun village, Anji county, East China’s Zhejiang Province.</w:t>
      </w:r>
    </w:p>
    <w:p w14:paraId="4F1D1E4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In front of a stone tablet inscribed “lucid waters and lush mountains are invaluable assets,” tourists often stop to take photos. From the village post office, vibrant rice paddies stretch all the way to the foot of the mountains, swaying in the breeze. Parents ride shared e-bikes with their children along country paths, feeling the air filled with fresh scent of bamboo and tea – this is the bucolic lifestyle many people now long for.</w:t>
      </w:r>
    </w:p>
    <w:p w14:paraId="4DBF754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It’s hard to imagine that 20 years ago, this was a mining village shrouded in dust and filled with the din of quarries. From “selling ore” to “selling scenery,” to “selling lifestyle and quality,” this development path is deeply etched in the memories of residents in Yucun.</w:t>
      </w:r>
    </w:p>
    <w:p w14:paraId="397914C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During an inspection tour to Yucun on August 15, 2005, Xi Jinping, then secretary of the Zhejiang Provincial Committee of the Communist Party of China (CPC), for the first time put forward the concept of “lucid waters and lush mountains are invaluable assets.”</w:t>
      </w:r>
    </w:p>
    <w:p w14:paraId="7954A85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Pan Wenge, who was on site for Xi’s field visit and symposium in Yucun, and later served as Yucun village Party chief, is a key witness and promoter of the concept’s inception and practice in the village. Now a member of the Party Committee at the Anji County Party School, Pan recently told the Global Times how that day changed the future of the village, as well as many people’s life trajectories.</w:t>
      </w:r>
    </w:p>
    <w:p w14:paraId="2AEE3B1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The proposal of the “two mountains” concept further strengthened the confidence of Yucun officials and villagers in pursuing green development. </w:t>
      </w:r>
    </w:p>
    <w:p w14:paraId="0CA4272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Pan recalled that in the years that followed, Yucun undertook mine rehabilitation, expanded greenery, and mobilized villagers to clean ditches, repair roads, and repaint walls, transforming the previously shabby village into public spaces resembling scenic spots.</w:t>
      </w:r>
    </w:p>
    <w:p w14:paraId="466F360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Yucun’s exploration ultimately paid off. The implementation of the “two mountains” concept has led to significant ecological improvement, economic growth, and social progress.</w:t>
      </w:r>
    </w:p>
    <w:p w14:paraId="5541DC12">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Today, in this small village of only 4.86 square kilometers, hundreds of thousands of tourists visit annually. </w:t>
      </w:r>
    </w:p>
    <w:p w14:paraId="63A121F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According to Pan, more than 100 households in the village now run their own businesses, from farm stays to specialty stores, experience centers to social media hotspots. Business is booming, popularity is rising, and with that, villagers’ incomes and life satisfaction have increased.</w:t>
      </w:r>
    </w:p>
    <w:p w14:paraId="459FB81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In Volume V of the book series </w:t>
      </w:r>
      <w:r>
        <w:rPr>
          <w:rFonts w:hint="eastAsia" w:ascii="宋体" w:hAnsi="宋体" w:eastAsia="宋体" w:cs="宋体"/>
          <w:b/>
          <w:bCs/>
          <w:i/>
          <w:iCs/>
          <w:sz w:val="21"/>
          <w:szCs w:val="21"/>
          <w:lang w:val="en-US" w:eastAsia="zh-CN" w:bidi="ar-SA"/>
        </w:rPr>
        <w:t>Xi Jinping: The Governance of China</w:t>
      </w:r>
      <w:r>
        <w:rPr>
          <w:rFonts w:hint="eastAsia" w:ascii="宋体" w:hAnsi="宋体" w:eastAsia="宋体" w:cs="宋体"/>
          <w:b/>
          <w:bCs/>
          <w:sz w:val="21"/>
          <w:szCs w:val="21"/>
          <w:lang w:val="en-US" w:eastAsia="zh-CN" w:bidi="ar-SA"/>
        </w:rPr>
        <w:t>, President Xi emphasized that “I hope our whole society acts now to promote and apply the concept that lucid waters and lush mountains are invaluable assets. Through solid and sustained efforts, we will make a greater contribution to building a clean and beautiful world,” in the article titled “Promote and Apply the Concept that Lucid Waters and Lush Mountains Are Invaluable Assets.” This is Xi’s directive on the first National Ecology Day on August 14, 2023.</w:t>
      </w:r>
    </w:p>
    <w:p w14:paraId="04F2973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Today, more and more young people are travelling to Yucun, to Anji to start careers there, becoming a new generation of “two mountains” concept practitioners. </w:t>
      </w:r>
    </w:p>
    <w:p w14:paraId="58ADDF1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One of them is young millennial entrepreneur Li Yanyi. Originally from Shanghai, she has taken root in Anji’s Xilong township since 2019, where she runs the “Anji Hood” project, a tourism integration complex based on the culture of Anji’s famous white tea. She and her team systematically revitalize old spaces, transforming abandoned structures into public venues, shops, or guesthouses, redefining rural aesthetics through a more international lens.</w:t>
      </w:r>
    </w:p>
    <w:p w14:paraId="1FE6421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Unlike the traditional “build a view to attract people” model, Li focuses on building communities. Programmers, designers, and creatives have moved their studios into this mountain-water setting, working remotely during the day and chatting in the fields at night. This has become a unique part of Anji’s landscape.</w:t>
      </w:r>
    </w:p>
    <w:p w14:paraId="432388A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Statistics show that since 2019, over 50,000 young people have chosen to work and start businesses in Anji, gradually making it known as a “top destination for youth returning to the countryside.”</w:t>
      </w:r>
    </w:p>
    <w:p w14:paraId="5716215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When the concept of “lucid waters and lush mountains are invaluable assets” transforms from the choice of one village into the choice of millions of lives, a Beautiful China comes into view.</w:t>
      </w:r>
    </w:p>
    <w:p w14:paraId="209E2A1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230BA1C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bidi="ar-SA"/>
        </w:rPr>
      </w:pPr>
      <w:r>
        <w:rPr>
          <w:rFonts w:hint="eastAsia" w:ascii="华文中宋" w:hAnsi="华文中宋" w:eastAsia="华文中宋" w:cs="华文中宋"/>
          <w:b/>
          <w:bCs/>
          <w:sz w:val="28"/>
          <w:szCs w:val="28"/>
          <w:lang w:val="en-US" w:eastAsia="zh-CN" w:bidi="ar-SA"/>
        </w:rPr>
        <w:t>Readers’ Reflections: China’s green, low-carbon transition unlocks more dividends: business exe</w:t>
      </w:r>
      <w:bookmarkStart w:id="0" w:name="_GoBack"/>
      <w:bookmarkEnd w:id="0"/>
    </w:p>
    <w:p w14:paraId="097E707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4E1D5E9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By Helge Muenkel</w:t>
      </w:r>
    </w:p>
    <w:p w14:paraId="553BF54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7553823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China’s green energy transition over the last three decades has marked remarkable progress, positively impacting and inspiring many, far beyond its borders. Facts best demonstrate just how tremendous China’s strides have been. In 2024, China installed more renewable energy capacity than the rest of the world combined.</w:t>
      </w:r>
    </w:p>
    <w:p w14:paraId="492E1FE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China has also become the clear leader in electrifying mobility. It is the largest market in the world for new-energy vehicles, which include battery-electric, plug-in hybrid and extended-range electric cars, and is also the largest exporter of such cars globally. </w:t>
      </w:r>
    </w:p>
    <w:p w14:paraId="39ADF31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Chinese President Xi Jinping stressed in a speech at the National Conference on Eco-environmental Protection in July 2023 that “the next five years will be crucial in building a beautiful China.”</w:t>
      </w:r>
    </w:p>
    <w:p w14:paraId="7FA62FF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The concept of “Beautiful China” highlights the country’s commitment to an ecological civilization and sustainable development, stressing that “lucid waters and lush mountains are invaluable assets.”</w:t>
      </w:r>
    </w:p>
    <w:p w14:paraId="74456E9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China’s commitment to peak carbon dioxide emissions before 2030 and achieve carbon neutrality before 2060 will transform China’s economy into a green, low-carbon, and circular system by mid-century. In 2024, China was by far the largest investor in the global energy transition, according to data from Bloomberg New Energy Finance. China invested $818 billion in clean technologies last year. This materially outpaced the US and the EU, which invested $338 billion and $375 billion, respectively. </w:t>
      </w:r>
    </w:p>
    <w:p w14:paraId="55D1349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As such, the expansion of China’s green economy unlocks more dividends and presents significant opportunities for foreign-invested enterprises. As China continues to prioritize sustainability, foreign companies can leverage their expertise and technologies to support the country’s green development goals. The dual carbon goals have created a favorable environment for green investments. With China’s green economy expected to further grow materially, foreign-invested enterprises can capitalize on this trend by investing in renewable energy, green infrastructure, and sustainable technologies.</w:t>
      </w:r>
    </w:p>
    <w:p w14:paraId="059F8FB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In a world where climate change knows no borders, unilateral actions will inevitably fall short of addressing the global nature of the crisis. Collaboration, on the other hand, enables countries to pool their resources, expertise, and influence to drive meaningful change. As the world moves forward, it’s essential to prioritize multilateral cooperation and recognize the critical role that countries like China can play in shaping a sustainable future.</w:t>
      </w:r>
    </w:p>
    <w:p w14:paraId="4AD5DBA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The author is the Chief Sustainability Officer of Singapore-based DBS Bank</w:t>
      </w:r>
    </w:p>
    <w:p w14:paraId="6F8E4CC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4A17A6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561" w:firstLineChars="200"/>
        <w:jc w:val="center"/>
        <w:textAlignment w:val="auto"/>
        <w:rPr>
          <w:rFonts w:hint="eastAsia" w:ascii="华文中宋" w:hAnsi="华文中宋" w:eastAsia="华文中宋" w:cs="华文中宋"/>
          <w:b/>
          <w:bCs/>
          <w:sz w:val="28"/>
          <w:szCs w:val="28"/>
          <w:lang w:val="en-US" w:eastAsia="zh-CN" w:bidi="ar-SA"/>
        </w:rPr>
      </w:pPr>
      <w:r>
        <w:rPr>
          <w:rFonts w:hint="eastAsia" w:ascii="华文中宋" w:hAnsi="华文中宋" w:eastAsia="华文中宋" w:cs="华文中宋"/>
          <w:b/>
          <w:bCs/>
          <w:sz w:val="28"/>
          <w:szCs w:val="28"/>
          <w:lang w:val="en-US" w:eastAsia="zh-CN" w:bidi="ar-SA"/>
        </w:rPr>
        <w:t>Translators’ Voices: ‘Two mountains’ concept presents a fundamental shift in how development should work: Afghan translator</w:t>
      </w:r>
    </w:p>
    <w:p w14:paraId="42F2884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0C43C23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Dr. Khosraw Ubaidy, a member of the editorial committee of translators of the Dari edition of the book series </w:t>
      </w:r>
      <w:r>
        <w:rPr>
          <w:rFonts w:hint="eastAsia" w:ascii="宋体" w:hAnsi="宋体" w:eastAsia="宋体" w:cs="宋体"/>
          <w:b/>
          <w:bCs/>
          <w:i/>
          <w:iCs/>
          <w:sz w:val="21"/>
          <w:szCs w:val="21"/>
          <w:lang w:val="en-US" w:eastAsia="zh-CN" w:bidi="ar-SA"/>
        </w:rPr>
        <w:t>Xi Jinping: The Governance of China</w:t>
      </w:r>
    </w:p>
    <w:p w14:paraId="6FA02DF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p>
    <w:p w14:paraId="2A3AB99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 xml:space="preserve">China’s famous saying, “lucid waters and lush mountains are invaluable assets,” isn’t just a concept – it presents a fundamental shift in how development should work. Instead of sacrificing nature for short-term economic gains, China has developed policies that treat the environment as invaluable assets. </w:t>
      </w:r>
    </w:p>
    <w:p w14:paraId="1E76732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What’s revolutionary here is the mind-set: economic progress and environmental health aren’t enemies – they’re partners. While Western nations often industrialized first and cleaned up later, China’s approach shows that developing countries can leapfrog non-clean phases of growth entirely. For Global South nations, this is a game-changer.</w:t>
      </w:r>
    </w:p>
    <w:p w14:paraId="604D511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True prosperity isn’t just GDP numbers; it’s breathable air, drinkable water, and stable climates. As climate disasters escalate, this isn’t just China’s strategy – it’s the world’s necessary future.</w:t>
      </w:r>
    </w:p>
    <w:p w14:paraId="21E5251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China’s long-term ecological governance philosophy centers on ecological civilization – a holistic, value-driven framework that ties development to the health of the natural world. This treats nature not as a mere resource but as a common inheritance and a bedrock of social justice and human well-being, embodying intergenerational responsibility and harmony between people and the environment.</w:t>
      </w:r>
    </w:p>
    <w:p w14:paraId="1E9EC59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Practically, it rests on a systematic governance architecture, all aimed at achieving carbon peaking by 2030 and carbon neutrality by 2060.</w:t>
      </w:r>
    </w:p>
    <w:p w14:paraId="42AD7A9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b/>
          <w:bCs/>
          <w:sz w:val="21"/>
          <w:szCs w:val="21"/>
          <w:lang w:val="en-US" w:eastAsia="zh-CN" w:bidi="ar-SA"/>
        </w:rPr>
      </w:pPr>
      <w:r>
        <w:rPr>
          <w:rFonts w:hint="eastAsia" w:ascii="宋体" w:hAnsi="宋体" w:eastAsia="宋体" w:cs="宋体"/>
          <w:b/>
          <w:bCs/>
          <w:sz w:val="21"/>
          <w:szCs w:val="21"/>
          <w:lang w:val="en-US" w:eastAsia="zh-CN" w:bidi="ar-SA"/>
        </w:rPr>
        <w:t>In sum, China’s ecological governance combines a dignified, future-oriented philosophy with a robust, multi-level institutional toolkit, pursuing sustainable prosperity while honoring the planet’s finite boundaries.</w:t>
      </w:r>
    </w:p>
    <w:sectPr>
      <w:pgSz w:w="11906" w:h="16838"/>
      <w:pgMar w:top="1134" w:right="1134" w:bottom="1134" w:left="1134"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w:panose1 w:val="00000000000000000000"/>
    <w:charset w:val="00"/>
    <w:family w:val="auto"/>
    <w:pitch w:val="default"/>
    <w:sig w:usb0="E00002FF" w:usb1="5000205A" w:usb2="00000000" w:usb3="00000000" w:csb0="2000019F" w:csb1="00000000"/>
  </w:font>
  <w:font w:name="ScalaOT-Regular">
    <w:panose1 w:val="02010504040101020104"/>
    <w:charset w:val="00"/>
    <w:family w:val="auto"/>
    <w:pitch w:val="default"/>
    <w:sig w:usb0="800000AF" w:usb1="4000E05B" w:usb2="00000000" w:usb3="00000000" w:csb0="20000001" w:csb1="00000000"/>
  </w:font>
  <w:font w:name="华文中宋">
    <w:panose1 w:val="02010600040101010101"/>
    <w:charset w:val="86"/>
    <w:family w:val="auto"/>
    <w:pitch w:val="default"/>
    <w:sig w:usb0="00000287" w:usb1="080F0000" w:usb2="00000000" w:usb3="00000000" w:csb0="0004009F" w:csb1="DFD70000"/>
  </w:font>
  <w:font w:name="ScalaSansOT-Bold">
    <w:panose1 w:val="02010804040101020104"/>
    <w:charset w:val="00"/>
    <w:family w:val="auto"/>
    <w:pitch w:val="default"/>
    <w:sig w:usb0="800000AF" w:usb1="4000E04A" w:usb2="00000000" w:usb3="00000000" w:csb0="20000001" w:csb1="00000000"/>
  </w:font>
  <w:font w:name="ScalaSansOT-Black">
    <w:panose1 w:val="02010A04060101020104"/>
    <w:charset w:val="00"/>
    <w:family w:val="auto"/>
    <w:pitch w:val="default"/>
    <w:sig w:usb0="800000AF" w:usb1="4000E04A" w:usb2="00000000" w:usb3="00000000" w:csb0="20000001" w:csb1="00000000"/>
  </w:font>
  <w:font w:name="ScalaSansOT-Regular">
    <w:panose1 w:val="02010504040101020104"/>
    <w:charset w:val="00"/>
    <w:family w:val="auto"/>
    <w:pitch w:val="default"/>
    <w:sig w:usb0="800000AF" w:usb1="4000E04A" w:usb2="00000000" w:usb3="00000000" w:csb0="20000001" w:csb1="00000000"/>
  </w:font>
  <w:font w:name="ScalaSansOT-Light">
    <w:panose1 w:val="02010504040101020104"/>
    <w:charset w:val="00"/>
    <w:family w:val="auto"/>
    <w:pitch w:val="default"/>
    <w:sig w:usb0="800000AF" w:usb1="4000E04A" w:usb2="00000000" w:usb3="00000000" w:csb0="20000001" w:csb1="00000000"/>
  </w:font>
  <w:font w:name="ScalaSansOT-LightItalic">
    <w:panose1 w:val="02010504040101020104"/>
    <w:charset w:val="00"/>
    <w:family w:val="auto"/>
    <w:pitch w:val="default"/>
    <w:sig w:usb0="800000AF" w:usb1="4000E04A" w:usb2="00000000" w:usb3="00000000" w:csb0="20000001" w:csb1="00000000"/>
  </w:font>
  <w:font w:name="AdobeSongStd-Light">
    <w:altName w:val="宋体"/>
    <w:panose1 w:val="00000000000000000000"/>
    <w:charset w:val="86"/>
    <w:family w:val="auto"/>
    <w:pitch w:val="default"/>
    <w:sig w:usb0="00000000" w:usb1="00000000" w:usb2="00000000" w:usb3="00000000" w:csb0="00040000" w:csb1="00000000"/>
  </w:font>
  <w:font w:name="ScalaOT-Italic">
    <w:panose1 w:val="02010504040101020104"/>
    <w:charset w:val="00"/>
    <w:family w:val="auto"/>
    <w:pitch w:val="default"/>
    <w:sig w:usb0="800000AF" w:usb1="4000E05B" w:usb2="00000000" w:usb3="00000000" w:csb0="20000001" w:csb1="00000000"/>
  </w:font>
  <w:font w:name="ScalaSansOT-Italic">
    <w:panose1 w:val="02010504050101020104"/>
    <w:charset w:val="00"/>
    <w:family w:val="auto"/>
    <w:pitch w:val="default"/>
    <w:sig w:usb0="800000AF" w:usb1="4000E04A"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5B3B5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kern w:val="2"/>
      <w:sz w:val="21"/>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3"/>
    <w:unhideWhenUsed/>
    <w:uiPriority w:val="99"/>
    <w:pPr>
      <w:spacing w:beforeLines="0" w:afterLines="0" w:line="200" w:lineRule="atLeast"/>
      <w:ind w:firstLine="227"/>
    </w:pPr>
    <w:rPr>
      <w:rFonts w:hint="default" w:ascii="ScalaOT-Regular" w:hAnsi="ScalaOT-Regular" w:eastAsia="ScalaOT-Regular"/>
      <w:spacing w:val="-2"/>
      <w:sz w:val="19"/>
      <w:szCs w:val="24"/>
      <w:lang w:val="en-US"/>
    </w:rPr>
  </w:style>
  <w:style w:type="paragraph" w:customStyle="1" w:styleId="3">
    <w:name w:val="[无段落样式]"/>
    <w:unhideWhenUsed/>
    <w:uiPriority w:val="99"/>
    <w:pPr>
      <w:widowControl w:val="0"/>
      <w:autoSpaceDE w:val="0"/>
      <w:autoSpaceDN w:val="0"/>
      <w:adjustRightInd w:val="0"/>
      <w:spacing w:beforeLines="0" w:afterLines="0" w:line="288" w:lineRule="auto"/>
      <w:textAlignment w:val="center"/>
    </w:pPr>
    <w:rPr>
      <w:rFonts w:hint="default" w:ascii="Times" w:hAnsi="Times" w:eastAsia="Times"/>
      <w:color w:val="000000"/>
      <w:sz w:val="24"/>
      <w:szCs w:val="24"/>
      <w:lang w:val="en-GB"/>
    </w:rPr>
  </w:style>
  <w:style w:type="paragraph" w:styleId="4">
    <w:name w:val="Body Text 2"/>
    <w:basedOn w:val="2"/>
    <w:unhideWhenUsed/>
    <w:uiPriority w:val="99"/>
    <w:pPr>
      <w:spacing w:beforeLines="0" w:afterLines="0"/>
    </w:pPr>
    <w:rPr>
      <w:rFonts w:hint="default" w:ascii="ScalaSansOT-Light" w:hAnsi="ScalaSansOT-Light" w:eastAsia="ScalaSansOT-Light"/>
      <w:spacing w:val="-4"/>
      <w:sz w:val="18"/>
      <w:szCs w:val="24"/>
    </w:rPr>
  </w:style>
  <w:style w:type="paragraph" w:customStyle="1" w:styleId="7">
    <w:name w:val="Headline 80"/>
    <w:basedOn w:val="3"/>
    <w:unhideWhenUsed/>
    <w:uiPriority w:val="99"/>
    <w:pPr>
      <w:suppressAutoHyphens/>
      <w:spacing w:beforeLines="0" w:afterLines="0" w:line="1600" w:lineRule="atLeast"/>
    </w:pPr>
    <w:rPr>
      <w:rFonts w:hint="default" w:ascii="ScalaOT-Regular" w:hAnsi="ScalaOT-Regular" w:eastAsia="ScalaOT-Regular"/>
      <w:spacing w:val="-40"/>
      <w:sz w:val="160"/>
      <w:szCs w:val="24"/>
      <w:lang w:val="en-US"/>
    </w:rPr>
  </w:style>
  <w:style w:type="paragraph" w:customStyle="1" w:styleId="8">
    <w:name w:val="Highlight"/>
    <w:basedOn w:val="2"/>
    <w:unhideWhenUsed/>
    <w:uiPriority w:val="99"/>
    <w:pPr>
      <w:spacing w:beforeLines="0" w:afterLines="0" w:line="300" w:lineRule="atLeast"/>
      <w:ind w:left="170" w:right="170" w:firstLine="0"/>
    </w:pPr>
    <w:rPr>
      <w:rFonts w:hint="default" w:ascii="ScalaSansOT-Bold" w:hAnsi="ScalaSansOT-Bold" w:eastAsia="ScalaSansOT-Bold"/>
      <w:b/>
      <w:color w:val="FFFFFF"/>
      <w:sz w:val="24"/>
      <w:szCs w:val="24"/>
    </w:rPr>
  </w:style>
  <w:style w:type="paragraph" w:customStyle="1" w:styleId="9">
    <w:name w:val="Attributes"/>
    <w:basedOn w:val="3"/>
    <w:next w:val="10"/>
    <w:unhideWhenUsed/>
    <w:uiPriority w:val="99"/>
    <w:pPr>
      <w:pBdr>
        <w:top w:val="single" w:color="FFE479" w:sz="2" w:space="20"/>
      </w:pBdr>
      <w:suppressAutoHyphens/>
      <w:spacing w:before="283" w:beforeLines="0" w:afterLines="0"/>
    </w:pPr>
    <w:rPr>
      <w:rFonts w:hint="default" w:ascii="ScalaSansOT-Black" w:hAnsi="ScalaSansOT-Black" w:eastAsia="ScalaSansOT-Black"/>
      <w:color w:val="FFE479"/>
      <w:sz w:val="20"/>
      <w:szCs w:val="24"/>
      <w:lang w:val="en-US"/>
    </w:rPr>
  </w:style>
  <w:style w:type="paragraph" w:customStyle="1" w:styleId="10">
    <w:name w:val="Attributes title"/>
    <w:basedOn w:val="11"/>
    <w:next w:val="3"/>
    <w:unhideWhenUsed/>
    <w:uiPriority w:val="99"/>
    <w:pPr>
      <w:spacing w:beforeLines="0" w:afterLines="0"/>
    </w:pPr>
    <w:rPr>
      <w:rFonts w:hint="default" w:ascii="ScalaSansOT-Regular" w:hAnsi="ScalaSansOT-Regular" w:eastAsia="ScalaSansOT-Regular"/>
      <w:color w:val="000000"/>
      <w:sz w:val="16"/>
      <w:szCs w:val="24"/>
    </w:rPr>
  </w:style>
  <w:style w:type="paragraph" w:customStyle="1" w:styleId="11">
    <w:name w:val="Liftout"/>
    <w:basedOn w:val="3"/>
    <w:next w:val="9"/>
    <w:unhideWhenUsed/>
    <w:uiPriority w:val="99"/>
    <w:pPr>
      <w:suppressAutoHyphens/>
      <w:spacing w:beforeLines="0" w:afterLines="0"/>
    </w:pPr>
    <w:rPr>
      <w:rFonts w:hint="default" w:ascii="ScalaOT-Regular" w:hAnsi="ScalaOT-Regular" w:eastAsia="ScalaOT-Regular"/>
      <w:color w:val="FFE479"/>
      <w:sz w:val="30"/>
      <w:szCs w:val="24"/>
      <w:lang w:val="en-US"/>
    </w:rPr>
  </w:style>
  <w:style w:type="paragraph" w:customStyle="1" w:styleId="12">
    <w:name w:val="段落样式1"/>
    <w:basedOn w:val="9"/>
    <w:unhideWhenUsed/>
    <w:uiPriority w:val="99"/>
    <w:pPr>
      <w:pBdr>
        <w:top w:val="single" w:color="000000" w:sz="2" w:space="20"/>
      </w:pBdr>
      <w:spacing w:beforeLines="0" w:afterLines="0" w:line="300" w:lineRule="atLeast"/>
    </w:pPr>
    <w:rPr>
      <w:rFonts w:hint="default"/>
      <w:color w:val="E10011"/>
      <w:sz w:val="36"/>
      <w:szCs w:val="24"/>
    </w:rPr>
  </w:style>
  <w:style w:type="paragraph" w:customStyle="1" w:styleId="13">
    <w:name w:val="Body text2 1st para"/>
    <w:basedOn w:val="2"/>
    <w:unhideWhenUsed/>
    <w:uiPriority w:val="99"/>
    <w:pPr>
      <w:spacing w:beforeLines="0" w:afterLines="0"/>
      <w:ind w:firstLine="0"/>
    </w:pPr>
    <w:rPr>
      <w:rFonts w:hint="default" w:ascii="ScalaSansOT-Light" w:hAnsi="ScalaSansOT-Light" w:eastAsia="ScalaSansOT-Light"/>
      <w:spacing w:val="-4"/>
      <w:sz w:val="18"/>
      <w:szCs w:val="24"/>
    </w:rPr>
  </w:style>
  <w:style w:type="paragraph" w:customStyle="1" w:styleId="14">
    <w:name w:val="Body text 2 rugged"/>
    <w:basedOn w:val="4"/>
    <w:unhideWhenUsed/>
    <w:uiPriority w:val="99"/>
    <w:pPr>
      <w:spacing w:beforeLines="0" w:afterLines="0"/>
    </w:pPr>
    <w:rPr>
      <w:rFonts w:hint="default"/>
      <w:sz w:val="18"/>
      <w:szCs w:val="24"/>
    </w:rPr>
  </w:style>
  <w:style w:type="paragraph" w:customStyle="1" w:styleId="15">
    <w:name w:val="Headline 44"/>
    <w:basedOn w:val="7"/>
    <w:unhideWhenUsed/>
    <w:uiPriority w:val="99"/>
    <w:pPr>
      <w:spacing w:beforeLines="0" w:afterLines="0" w:line="880" w:lineRule="atLeast"/>
    </w:pPr>
    <w:rPr>
      <w:rFonts w:hint="default"/>
      <w:spacing w:val="-22"/>
      <w:sz w:val="88"/>
      <w:szCs w:val="24"/>
    </w:rPr>
  </w:style>
  <w:style w:type="paragraph" w:customStyle="1" w:styleId="16">
    <w:name w:val="Headline 24"/>
    <w:basedOn w:val="15"/>
    <w:unhideWhenUsed/>
    <w:uiPriority w:val="99"/>
    <w:pPr>
      <w:spacing w:beforeLines="0" w:afterLines="0" w:line="480" w:lineRule="atLeast"/>
    </w:pPr>
    <w:rPr>
      <w:rFonts w:hint="default"/>
      <w:spacing w:val="-12"/>
      <w:sz w:val="48"/>
      <w:szCs w:val="24"/>
    </w:rPr>
  </w:style>
  <w:style w:type="paragraph" w:customStyle="1" w:styleId="17">
    <w:name w:val="Body text rugged 1st para"/>
    <w:basedOn w:val="3"/>
    <w:unhideWhenUsed/>
    <w:uiPriority w:val="99"/>
    <w:pPr>
      <w:spacing w:beforeLines="0" w:afterLines="0" w:line="200" w:lineRule="atLeast"/>
    </w:pPr>
    <w:rPr>
      <w:rFonts w:hint="default" w:ascii="ScalaOT-Regular" w:hAnsi="ScalaOT-Regular" w:eastAsia="ScalaOT-Regular"/>
      <w:spacing w:val="-2"/>
      <w:sz w:val="19"/>
      <w:szCs w:val="24"/>
      <w:lang w:val="en-US"/>
    </w:rPr>
  </w:style>
  <w:style w:type="paragraph" w:customStyle="1" w:styleId="18">
    <w:name w:val="Byline"/>
    <w:basedOn w:val="2"/>
    <w:unhideWhenUsed/>
    <w:uiPriority w:val="99"/>
    <w:pPr>
      <w:pBdr>
        <w:bottom w:val="single" w:color="auto" w:sz="2" w:space="10"/>
      </w:pBdr>
      <w:spacing w:beforeLines="0" w:afterLines="0"/>
      <w:ind w:firstLine="0"/>
    </w:pPr>
    <w:rPr>
      <w:rFonts w:hint="default" w:ascii="ScalaSansOT-Black" w:hAnsi="ScalaSansOT-Black" w:eastAsia="ScalaSansOT-Black"/>
      <w:position w:val="-8"/>
      <w:sz w:val="19"/>
      <w:szCs w:val="24"/>
    </w:rPr>
  </w:style>
  <w:style w:type="paragraph" w:customStyle="1" w:styleId="19">
    <w:name w:val="Body text 1st para"/>
    <w:basedOn w:val="2"/>
    <w:unhideWhenUsed/>
    <w:uiPriority w:val="99"/>
    <w:pPr>
      <w:spacing w:beforeLines="0" w:afterLines="0"/>
      <w:ind w:firstLine="0"/>
    </w:pPr>
    <w:rPr>
      <w:rFonts w:hint="default"/>
      <w:sz w:val="19"/>
      <w:szCs w:val="24"/>
    </w:rPr>
  </w:style>
  <w:style w:type="paragraph" w:customStyle="1" w:styleId="20">
    <w:name w:val="Body text rugged"/>
    <w:basedOn w:val="3"/>
    <w:unhideWhenUsed/>
    <w:uiPriority w:val="99"/>
    <w:pPr>
      <w:spacing w:beforeLines="0" w:afterLines="0" w:line="200" w:lineRule="atLeast"/>
      <w:ind w:firstLine="227"/>
    </w:pPr>
    <w:rPr>
      <w:rFonts w:hint="default" w:ascii="ScalaOT-Regular" w:hAnsi="ScalaOT-Regular" w:eastAsia="ScalaOT-Regular"/>
      <w:spacing w:val="-2"/>
      <w:sz w:val="19"/>
      <w:szCs w:val="24"/>
      <w:lang w:val="en-US"/>
    </w:rPr>
  </w:style>
  <w:style w:type="paragraph" w:customStyle="1" w:styleId="21">
    <w:name w:val="Subhead"/>
    <w:basedOn w:val="2"/>
    <w:unhideWhenUsed/>
    <w:uiPriority w:val="99"/>
    <w:pPr>
      <w:suppressAutoHyphens/>
      <w:spacing w:before="57" w:beforeLines="0" w:afterLines="0"/>
      <w:ind w:firstLine="0"/>
    </w:pPr>
    <w:rPr>
      <w:rFonts w:hint="default" w:ascii="ScalaSansOT-Black" w:hAnsi="ScalaSansOT-Black" w:eastAsia="ScalaSansOT-Black"/>
      <w:color w:val="A2003B"/>
      <w:sz w:val="19"/>
      <w:szCs w:val="24"/>
    </w:rPr>
  </w:style>
  <w:style w:type="paragraph" w:customStyle="1" w:styleId="22">
    <w:name w:val="Tagline"/>
    <w:basedOn w:val="2"/>
    <w:unhideWhenUsed/>
    <w:uiPriority w:val="99"/>
    <w:pPr>
      <w:pBdr>
        <w:top w:val="single" w:color="auto" w:sz="8" w:space="11"/>
      </w:pBdr>
      <w:suppressAutoHyphens/>
      <w:spacing w:before="57" w:beforeLines="0" w:afterLines="0"/>
      <w:ind w:firstLine="0"/>
    </w:pPr>
    <w:rPr>
      <w:rFonts w:hint="default" w:ascii="ScalaSansOT-Light" w:hAnsi="ScalaSansOT-Light" w:eastAsia="ScalaSansOT-Light"/>
      <w:sz w:val="1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2026-05-13T10:36:00Z</dcterms:created>
  <dc:creator>办公的芦瑚</dc:creator>
  <cp:lastModifiedBy>办公的芦瑚</cp:lastModifiedBy>
  <dcterms:modified xsi:type="dcterms:W3CDTF">2026-05-13T11:06:03Z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6FA965F8FCBB45C98BEFE1D23274B403_11</vt:lpwstr>
  </property>
  <property fmtid="{D5CDD505-2E9C-101B-9397-08002B2CF9AE}" pid="4" name="KSOTemplateDocerSaveRecord">
    <vt:lpwstr>eyJoZGlkIjoiODk3MjcwZjY4YmQ2OGU0Zjc5ZDBkZmRhNzNiNTJhM2MiLCJ1c2VySWQiOiIzMTA1ODQzODIifQ==</vt:lpwstr>
  </property>
</Properties>
</file>